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F7" w:rsidRDefault="00354950" w:rsidP="00354950">
      <w:pPr>
        <w:jc w:val="center"/>
        <w:rPr>
          <w:rFonts w:ascii="Arial" w:hAnsi="Arial" w:cs="Arial"/>
          <w:b/>
          <w:sz w:val="32"/>
          <w:lang w:val="en-ID"/>
        </w:rPr>
      </w:pPr>
      <w:r w:rsidRPr="00417F32">
        <w:rPr>
          <w:rFonts w:ascii="Arial" w:hAnsi="Arial" w:cs="Arial"/>
          <w:b/>
          <w:sz w:val="32"/>
          <w:lang w:val="en-ID"/>
        </w:rPr>
        <w:t>TABEL IDENTIFIKASI RESIKO</w:t>
      </w:r>
    </w:p>
    <w:p w:rsidR="00417F32" w:rsidRPr="00417F32" w:rsidRDefault="00417F32" w:rsidP="00354950">
      <w:pPr>
        <w:jc w:val="center"/>
        <w:rPr>
          <w:rFonts w:ascii="Arial" w:hAnsi="Arial" w:cs="Arial"/>
          <w:b/>
          <w:sz w:val="28"/>
          <w:u w:val="single"/>
          <w:lang w:val="en-ID"/>
        </w:rPr>
      </w:pPr>
      <w:proofErr w:type="gramStart"/>
      <w:r w:rsidRPr="00417F32">
        <w:rPr>
          <w:rFonts w:ascii="Arial" w:hAnsi="Arial" w:cs="Arial"/>
          <w:b/>
          <w:sz w:val="28"/>
          <w:u w:val="single"/>
          <w:lang w:val="en-ID"/>
        </w:rPr>
        <w:t>per</w:t>
      </w:r>
      <w:proofErr w:type="gramEnd"/>
      <w:r w:rsidRPr="00417F32">
        <w:rPr>
          <w:rFonts w:ascii="Arial" w:hAnsi="Arial" w:cs="Arial"/>
          <w:b/>
          <w:sz w:val="28"/>
          <w:u w:val="single"/>
          <w:lang w:val="en-ID"/>
        </w:rPr>
        <w:t xml:space="preserve"> </w:t>
      </w:r>
      <w:proofErr w:type="spellStart"/>
      <w:r w:rsidRPr="00417F32">
        <w:rPr>
          <w:rFonts w:ascii="Arial" w:hAnsi="Arial" w:cs="Arial"/>
          <w:b/>
          <w:sz w:val="28"/>
          <w:u w:val="single"/>
          <w:lang w:val="en-ID"/>
        </w:rPr>
        <w:t>Agustus</w:t>
      </w:r>
      <w:proofErr w:type="spellEnd"/>
      <w:r w:rsidRPr="00417F32">
        <w:rPr>
          <w:rFonts w:ascii="Arial" w:hAnsi="Arial" w:cs="Arial"/>
          <w:b/>
          <w:sz w:val="28"/>
          <w:u w:val="single"/>
          <w:lang w:val="en-ID"/>
        </w:rPr>
        <w:t xml:space="preserve"> 2020</w:t>
      </w:r>
    </w:p>
    <w:p w:rsidR="00354950" w:rsidRPr="00417F32" w:rsidRDefault="00354950" w:rsidP="00354950">
      <w:pPr>
        <w:jc w:val="center"/>
        <w:rPr>
          <w:rFonts w:ascii="Arial" w:hAnsi="Arial" w:cs="Arial"/>
          <w:b/>
          <w:sz w:val="28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365"/>
        <w:gridCol w:w="2217"/>
        <w:gridCol w:w="2217"/>
        <w:gridCol w:w="1232"/>
        <w:gridCol w:w="2576"/>
        <w:gridCol w:w="1740"/>
      </w:tblGrid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r w:rsidRPr="00417F32">
              <w:rPr>
                <w:rFonts w:ascii="Arial" w:hAnsi="Arial" w:cs="Arial"/>
                <w:b/>
                <w:sz w:val="24"/>
                <w:lang w:val="en-ID"/>
              </w:rPr>
              <w:t>No.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Klausul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Resiko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Peluang</w:t>
            </w:r>
            <w:proofErr w:type="spellEnd"/>
          </w:p>
        </w:tc>
        <w:tc>
          <w:tcPr>
            <w:tcW w:w="1232" w:type="dxa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ID"/>
              </w:rPr>
              <w:t>Nilai</w:t>
            </w:r>
            <w:proofErr w:type="spellEnd"/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Tindakan</w:t>
            </w:r>
            <w:proofErr w:type="spellEnd"/>
          </w:p>
        </w:tc>
        <w:tc>
          <w:tcPr>
            <w:tcW w:w="1740" w:type="dxa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r>
              <w:rPr>
                <w:rFonts w:ascii="Arial" w:hAnsi="Arial" w:cs="Arial"/>
                <w:b/>
                <w:i/>
                <w:sz w:val="24"/>
                <w:lang w:val="en-ID"/>
              </w:rPr>
              <w:t>PIC</w:t>
            </w: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4.1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Ketidakberpihakan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Penyalahgunaan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jabatan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universitas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universitas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apapun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jabatannya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Regulasi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tegas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berjabatan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patuh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proses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4.2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Kerahasiaan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menghubungi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menanyakan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mempertanyakan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orang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labratorium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diwajibkan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pribadi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ditunjuk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memegang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tertentu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sibuk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ditunjuk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memegang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ketika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diperlukan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Penyesuaian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jadwal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kerja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surat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tugas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4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mengetahui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r w:rsidRPr="00417F32">
              <w:rPr>
                <w:rFonts w:ascii="Arial" w:hAnsi="Arial" w:cs="Arial"/>
                <w:sz w:val="24"/>
                <w:lang w:val="en-ID"/>
              </w:rPr>
              <w:t>-nya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telah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mengetahui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masing-masing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Pemberlakuan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rutin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koordinatir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mutu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komunikasi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Pergantian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induk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induk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tetap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lama</w:t>
            </w:r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Menambah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kompeten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Umum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AD2E66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AD2E66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AD2E66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banyak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sehingga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jobdsek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tersedia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cukup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banyak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Pengaturan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jumlah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beban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kerja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6.3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&amp;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Fasilitas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terjaga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khusus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memastikan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setiap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9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6.4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Peralatan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Alat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tersedia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beberapa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lingkup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Alat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tersedia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lingkup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Pengadaan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alat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reparasi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diperlukan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10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Ketertelusuran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Metrologi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ketertelusurannya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mengikuti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satuan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SI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ketertelusurannya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mengikuti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satuan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SI</w:t>
            </w:r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Menambahkan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sertifikat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CRM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bukti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tersebut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11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6.6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Produk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Eksternal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Spesifikasi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supplier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disetujui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79604D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maupun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supplier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/vendor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berkualitas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spesifikasi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Meminta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dahulu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menandatangai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memperbaharui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12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Tender/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Pencatatan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informasi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lengkap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mencatat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informasi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Menetapkan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memeriksakan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.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13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7.2.1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Verifikasi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diverifikasi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karena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kekurangan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reagen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lingkup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dvierifikasi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Mempersiapkan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reagen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diperlukan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melakukan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modifikasi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14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7.2.2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Validasi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Modifikasi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dibuat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akurat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Modifikasi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dibuat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tervalidasi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Mengganti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menuju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acuan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standar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15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7.3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Sampling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menyalahi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rencana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sampling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ditetapkan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menganggu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gugat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proses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sampling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standar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ditetapkan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Penegasan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pengajuan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16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7.4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Treatment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79604D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masalah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deskripsi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Pemeriksaan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pemberitahuan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pelanggan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.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17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Teknis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salinan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hilang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rusak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Salinan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terjaga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,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tersimpan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,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diakses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Menyediakan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back</w:t>
            </w: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up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18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7.6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Evaluasi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Ketidaktelitian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menghitung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mahir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menghitung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Penyediaan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software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khusus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menghitung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19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7.7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Keabsahan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Sulitnya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mencapai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diuji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banding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menemukan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diuji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banding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rencana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studi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banding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berkala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20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7.8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Pelaporan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Kesulitan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mencari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penanggung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jawab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TTD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laporan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Penanggung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jawab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TTD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laporan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ketika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dibutuhkan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Penanggung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jawab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TTD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dipilih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orang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21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7.9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luar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urusan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Pengaduan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bersifat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membangun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urusan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Penegasan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mengenai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prioritas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22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7.10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Pekerjaan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cepat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menentukan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bila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pekerjaan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siap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bertindak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bila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pekerjaan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kompetensi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problem solving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23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Data)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menyimpan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data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teknis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mengalami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kerusakan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penyimpanan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data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bertahan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lama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diperbaharui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selalu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Melakukan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back</w:t>
            </w: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up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data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berkala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24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Umum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79604D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79604D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79604D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25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Dokumentasi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Sistem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terlewat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tanpa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terkecuali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Penomoran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berurutan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setiap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mempermudah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pengecekan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26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8.3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Distribusi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mendapatkan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Penyesuaian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keperluan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wajib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dipegang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masing-masing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27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8.4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79604D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terlewat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tanpa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terkecuali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Kewajiban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selesai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28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menyelesaikan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optimal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diusulkan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diverifikasi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meminimalkan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tersebut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opsi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29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8.6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Improvement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mengembalikan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kuisioner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kepuasan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pelanggan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kuisioner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kepuasan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pelanggan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baik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Desain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kuisioner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to the point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menggunakan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bahasa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menarik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30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8.7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Korektif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0B6F76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perbaikan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menghilangkan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penyebab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perbaikan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menghilangkan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penyebab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penyebab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serta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menawarkan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solusi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ketidaksesuaian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31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8.8 (Audit Internal)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berkompeten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menjadi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asesor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maupun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koordinator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audit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kompeten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menjadi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asesor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koordinator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audit</w:t>
            </w:r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Penambahan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pelatihan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audit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417F32" w:rsidRPr="00417F32" w:rsidTr="00417F32">
        <w:tc>
          <w:tcPr>
            <w:tcW w:w="603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32</w:t>
            </w:r>
          </w:p>
        </w:tc>
        <w:tc>
          <w:tcPr>
            <w:tcW w:w="2365" w:type="dxa"/>
            <w:vAlign w:val="center"/>
          </w:tcPr>
          <w:p w:rsidR="00417F32" w:rsidRPr="00417F32" w:rsidRDefault="00417F32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8.9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KUM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terlaksana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akibat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kesibukan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masing-masing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</w:p>
        </w:tc>
        <w:tc>
          <w:tcPr>
            <w:tcW w:w="2217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KUM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terlaksana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baik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dihadiri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rutin</w:t>
            </w:r>
            <w:proofErr w:type="spellEnd"/>
          </w:p>
        </w:tc>
        <w:tc>
          <w:tcPr>
            <w:tcW w:w="1232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2576" w:type="dxa"/>
            <w:vAlign w:val="center"/>
          </w:tcPr>
          <w:p w:rsidR="00417F32" w:rsidRPr="00417F32" w:rsidRDefault="00417F32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Pengaturan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jadwal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,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libur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dimana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1740" w:type="dxa"/>
            <w:vAlign w:val="center"/>
          </w:tcPr>
          <w:p w:rsidR="00417F32" w:rsidRPr="00417F32" w:rsidRDefault="00417F32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</w:tbl>
    <w:p w:rsidR="00354950" w:rsidRDefault="00354950" w:rsidP="00354950">
      <w:pPr>
        <w:jc w:val="center"/>
        <w:rPr>
          <w:rFonts w:ascii="Times New Roman" w:hAnsi="Times New Roman" w:cs="Times New Roman"/>
          <w:sz w:val="24"/>
          <w:lang w:val="en-ID"/>
        </w:rPr>
      </w:pPr>
    </w:p>
    <w:p w:rsidR="005D0880" w:rsidRDefault="005D0880" w:rsidP="005D0880">
      <w:pPr>
        <w:spacing w:after="0"/>
        <w:rPr>
          <w:rFonts w:ascii="Arial" w:hAnsi="Arial" w:cs="Arial"/>
          <w:b/>
          <w:sz w:val="24"/>
          <w:u w:val="single"/>
          <w:lang w:val="en-ID"/>
        </w:rPr>
      </w:pPr>
      <w:proofErr w:type="spellStart"/>
      <w:proofErr w:type="gramStart"/>
      <w:r w:rsidRPr="005D0880">
        <w:rPr>
          <w:rFonts w:ascii="Arial" w:hAnsi="Arial" w:cs="Arial"/>
          <w:b/>
          <w:sz w:val="24"/>
          <w:u w:val="single"/>
          <w:lang w:val="en-ID"/>
        </w:rPr>
        <w:t>Catatan</w:t>
      </w:r>
      <w:proofErr w:type="spellEnd"/>
      <w:r w:rsidRPr="005D0880">
        <w:rPr>
          <w:rFonts w:ascii="Arial" w:hAnsi="Arial" w:cs="Arial"/>
          <w:b/>
          <w:sz w:val="24"/>
          <w:u w:val="single"/>
          <w:lang w:val="en-ID"/>
        </w:rPr>
        <w:t xml:space="preserve"> :</w:t>
      </w:r>
      <w:proofErr w:type="gramEnd"/>
    </w:p>
    <w:p w:rsidR="005D0880" w:rsidRDefault="005D0880" w:rsidP="005D0880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Identifikasi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disusun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bersama-sama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oleh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personil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Laboratorium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Pengujian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Fakultas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Teknik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Universitas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Diponegoro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dipaparkan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pada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rutin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Kaji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Ulang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Manajemen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berikut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pencegahan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personil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penanggung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jawab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>/</w:t>
      </w:r>
      <w:proofErr w:type="spellStart"/>
      <w:r>
        <w:rPr>
          <w:rFonts w:ascii="Arial" w:hAnsi="Arial" w:cs="Arial"/>
          <w:sz w:val="24"/>
          <w:lang w:val="en-ID"/>
        </w:rPr>
        <w:t>peluang</w:t>
      </w:r>
      <w:proofErr w:type="spellEnd"/>
      <w:r>
        <w:rPr>
          <w:rFonts w:ascii="Arial" w:hAnsi="Arial" w:cs="Arial"/>
          <w:sz w:val="24"/>
          <w:lang w:val="en-ID"/>
        </w:rPr>
        <w:t>.</w:t>
      </w:r>
    </w:p>
    <w:p w:rsidR="005D0880" w:rsidRDefault="00BA0108" w:rsidP="005D0880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Jenis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peluang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ID"/>
        </w:rPr>
        <w:t>akan</w:t>
      </w:r>
      <w:proofErr w:type="spellEnd"/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diperbaharui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setelah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Kaji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Ulang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Manajemen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disepakai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oleh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personil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pada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akhir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lang w:val="en-ID"/>
        </w:rPr>
        <w:t>Segala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bentuk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berhasil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dicegah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ID"/>
        </w:rPr>
        <w:t>akan</w:t>
      </w:r>
      <w:proofErr w:type="spellEnd"/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diganti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atau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dipertahankan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peningkatan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pencegahan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>.</w:t>
      </w:r>
    </w:p>
    <w:p w:rsidR="00BA0108" w:rsidRPr="00BA0108" w:rsidRDefault="00BA0108" w:rsidP="00BA010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Evaluasi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dilakukan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secara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periodik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oleh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Koordinator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Mutu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melalui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r w:rsidRPr="00BA0108">
        <w:rPr>
          <w:rFonts w:ascii="Arial" w:hAnsi="Arial" w:cs="Arial"/>
          <w:b/>
          <w:sz w:val="24"/>
          <w:lang w:val="en-ID"/>
        </w:rPr>
        <w:t>F</w:t>
      </w:r>
      <w:r>
        <w:rPr>
          <w:rFonts w:ascii="Arial" w:hAnsi="Arial" w:cs="Arial"/>
          <w:b/>
          <w:sz w:val="24"/>
          <w:lang w:val="en-ID"/>
        </w:rPr>
        <w:t>orm. 02-</w:t>
      </w:r>
      <w:proofErr w:type="gramStart"/>
      <w:r>
        <w:rPr>
          <w:rFonts w:ascii="Arial" w:hAnsi="Arial" w:cs="Arial"/>
          <w:b/>
          <w:sz w:val="24"/>
          <w:lang w:val="en-ID"/>
        </w:rPr>
        <w:t xml:space="preserve">K08.5 </w:t>
      </w:r>
      <w:r>
        <w:rPr>
          <w:rFonts w:ascii="Arial" w:hAnsi="Arial" w:cs="Arial"/>
          <w:sz w:val="24"/>
          <w:lang w:val="en-ID"/>
        </w:rPr>
        <w:t>:</w:t>
      </w:r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Evaluasi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setelah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mendapatkan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laporan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dari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r>
        <w:rPr>
          <w:rFonts w:ascii="Arial" w:hAnsi="Arial" w:cs="Arial"/>
          <w:i/>
          <w:sz w:val="24"/>
          <w:lang w:val="en-ID"/>
        </w:rPr>
        <w:t xml:space="preserve">PIC </w:t>
      </w:r>
      <w:proofErr w:type="spellStart"/>
      <w:r>
        <w:rPr>
          <w:rFonts w:ascii="Arial" w:hAnsi="Arial" w:cs="Arial"/>
          <w:sz w:val="24"/>
          <w:lang w:val="en-ID"/>
        </w:rPr>
        <w:t>tiap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belum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memuaskan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ID"/>
        </w:rPr>
        <w:t>akan</w:t>
      </w:r>
      <w:proofErr w:type="spellEnd"/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dinvestigasi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dibahas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dalam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Kaji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Ulang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Manajemen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atau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kalau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perlu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diganti</w:t>
      </w:r>
      <w:proofErr w:type="spellEnd"/>
      <w:r>
        <w:rPr>
          <w:rFonts w:ascii="Arial" w:hAnsi="Arial" w:cs="Arial"/>
          <w:sz w:val="24"/>
          <w:lang w:val="en-ID"/>
        </w:rPr>
        <w:t>.</w:t>
      </w:r>
      <w:bookmarkStart w:id="0" w:name="_GoBack"/>
      <w:bookmarkEnd w:id="0"/>
    </w:p>
    <w:sectPr w:rsidR="00BA0108" w:rsidRPr="00BA0108" w:rsidSect="00417F32">
      <w:headerReference w:type="default" r:id="rId7"/>
      <w:pgSz w:w="15840" w:h="12240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F1" w:rsidRDefault="006849F1" w:rsidP="00417F32">
      <w:pPr>
        <w:spacing w:after="0" w:line="240" w:lineRule="auto"/>
      </w:pPr>
      <w:r>
        <w:separator/>
      </w:r>
    </w:p>
  </w:endnote>
  <w:endnote w:type="continuationSeparator" w:id="0">
    <w:p w:rsidR="006849F1" w:rsidRDefault="006849F1" w:rsidP="004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F1" w:rsidRDefault="006849F1" w:rsidP="00417F32">
      <w:pPr>
        <w:spacing w:after="0" w:line="240" w:lineRule="auto"/>
      </w:pPr>
      <w:r>
        <w:separator/>
      </w:r>
    </w:p>
  </w:footnote>
  <w:footnote w:type="continuationSeparator" w:id="0">
    <w:p w:rsidR="006849F1" w:rsidRDefault="006849F1" w:rsidP="004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417F32" w:rsidRPr="00052B89" w:rsidTr="00417F32">
      <w:trPr>
        <w:trHeight w:val="278"/>
        <w:jc w:val="center"/>
      </w:trPr>
      <w:tc>
        <w:tcPr>
          <w:tcW w:w="1418" w:type="dxa"/>
          <w:vMerge w:val="restart"/>
          <w:textDirection w:val="tbRl"/>
        </w:tcPr>
        <w:p w:rsidR="00417F32" w:rsidRPr="00E226E4" w:rsidRDefault="00417F32" w:rsidP="00417F32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B9D2652" wp14:editId="76D3D244">
                <wp:extent cx="737235" cy="901065"/>
                <wp:effectExtent l="0" t="0" r="5715" b="0"/>
                <wp:docPr id="4" name="Picture 4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7F32" w:rsidRPr="00CA3EE3" w:rsidRDefault="00417F32" w:rsidP="00417F32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17F32" w:rsidRDefault="00417F32" w:rsidP="00417F32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proofErr w:type="spellStart"/>
          <w:r>
            <w:rPr>
              <w:rFonts w:ascii="Arial" w:hAnsi="Arial" w:cs="Arial"/>
              <w:b/>
              <w:szCs w:val="26"/>
              <w:lang w:val="en-ID"/>
            </w:rPr>
            <w:t>Laboratorium</w:t>
          </w:r>
          <w:proofErr w:type="spellEnd"/>
          <w:r>
            <w:rPr>
              <w:rFonts w:ascii="Arial" w:hAnsi="Arial" w:cs="Arial"/>
              <w:b/>
              <w:szCs w:val="26"/>
              <w:lang w:val="en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Cs w:val="26"/>
              <w:lang w:val="en-ID"/>
            </w:rPr>
            <w:t>Pengujian</w:t>
          </w:r>
          <w:proofErr w:type="spellEnd"/>
          <w:r>
            <w:rPr>
              <w:rFonts w:ascii="Arial" w:hAnsi="Arial" w:cs="Arial"/>
              <w:b/>
              <w:szCs w:val="26"/>
              <w:lang w:val="en-ID"/>
            </w:rPr>
            <w:t xml:space="preserve">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417F32" w:rsidRPr="00B41F73" w:rsidRDefault="00417F32" w:rsidP="00417F32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ind w:left="-3" w:firstLine="3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F01-K.085</w:t>
          </w:r>
        </w:p>
      </w:tc>
    </w:tr>
    <w:tr w:rsidR="00417F32" w:rsidRPr="00052B89" w:rsidTr="0044623C">
      <w:trPr>
        <w:trHeight w:val="436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</w:p>
      </w:tc>
    </w:tr>
    <w:tr w:rsidR="00417F32" w:rsidRPr="00052B89" w:rsidTr="0044623C">
      <w:trPr>
        <w:trHeight w:val="388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17F32" w:rsidRPr="00495E73" w:rsidRDefault="00417F32" w:rsidP="00417F32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lang w:val="sv-SE"/>
            </w:rPr>
            <w:t>IDENTIFIKASI RESIKO DAN PELUANG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36216F" w:rsidRDefault="00417F32" w:rsidP="00417F32">
          <w:pPr>
            <w:spacing w:line="240" w:lineRule="auto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417F32" w:rsidTr="0044623C">
      <w:trPr>
        <w:trHeight w:val="374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BA0108">
            <w:rPr>
              <w:rFonts w:ascii="Arial" w:hAnsi="Arial" w:cs="Arial"/>
              <w:noProof/>
              <w:sz w:val="20"/>
              <w:lang w:val="sv-SE"/>
            </w:rPr>
            <w:t>7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417F32" w:rsidRDefault="00417F32" w:rsidP="00417F32">
    <w:pPr>
      <w:pStyle w:val="Header"/>
    </w:pPr>
  </w:p>
  <w:p w:rsidR="00417F32" w:rsidRDefault="00417F32" w:rsidP="00417F32">
    <w:pPr>
      <w:pStyle w:val="Header"/>
    </w:pPr>
  </w:p>
  <w:p w:rsidR="00417F32" w:rsidRDefault="00417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42D92"/>
    <w:multiLevelType w:val="hybridMultilevel"/>
    <w:tmpl w:val="394EEBC2"/>
    <w:lvl w:ilvl="0" w:tplc="3D486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7"/>
    <w:rsid w:val="000B6F76"/>
    <w:rsid w:val="002068E3"/>
    <w:rsid w:val="00354950"/>
    <w:rsid w:val="00417F32"/>
    <w:rsid w:val="00467599"/>
    <w:rsid w:val="00536259"/>
    <w:rsid w:val="005D0880"/>
    <w:rsid w:val="006849F1"/>
    <w:rsid w:val="0079604D"/>
    <w:rsid w:val="00905F87"/>
    <w:rsid w:val="00AD2E66"/>
    <w:rsid w:val="00BA0108"/>
    <w:rsid w:val="00B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AF0F26-7E5D-4B79-8B1C-D74A23C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 Char, Char Char,Char Char Char,Char Char"/>
    <w:basedOn w:val="Normal"/>
    <w:link w:val="HeaderChar"/>
    <w:uiPriority w:val="99"/>
    <w:unhideWhenUsed/>
    <w:rsid w:val="004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417F32"/>
  </w:style>
  <w:style w:type="paragraph" w:styleId="Footer">
    <w:name w:val="footer"/>
    <w:basedOn w:val="Normal"/>
    <w:link w:val="FooterChar"/>
    <w:uiPriority w:val="99"/>
    <w:unhideWhenUsed/>
    <w:rsid w:val="004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32"/>
  </w:style>
  <w:style w:type="paragraph" w:styleId="ListParagraph">
    <w:name w:val="List Paragraph"/>
    <w:basedOn w:val="Normal"/>
    <w:uiPriority w:val="34"/>
    <w:qFormat/>
    <w:rsid w:val="005D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2020-08-08T04:04:00Z</dcterms:created>
  <dcterms:modified xsi:type="dcterms:W3CDTF">2020-08-12T15:26:00Z</dcterms:modified>
</cp:coreProperties>
</file>