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8D" w:rsidRPr="0081218D" w:rsidRDefault="0081218D" w:rsidP="0081218D">
      <w:pPr>
        <w:spacing w:line="360" w:lineRule="auto"/>
        <w:jc w:val="both"/>
        <w:rPr>
          <w:rFonts w:ascii="Arial" w:hAnsi="Arial" w:cs="Arial"/>
          <w:b/>
          <w:sz w:val="28"/>
        </w:rPr>
      </w:pPr>
      <w:r>
        <w:rPr>
          <w:rFonts w:ascii="Arial" w:hAnsi="Arial" w:cs="Arial"/>
          <w:b/>
          <w:sz w:val="28"/>
        </w:rPr>
        <w:t>3. Istilah dan Definisi</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Ketidakberpihakan adalah adanya suatu obyektivitas dalam menyelesaikan suatu permasalahan di laboratorium.</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Obyektivitas adalah pandangan yang tidak berbenturan dengan kepentingan pribadi maupun golongan.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Komplain adalah ekspresi ketidakpuasan oleh orang atau</w:t>
      </w:r>
      <w:bookmarkStart w:id="0" w:name="_GoBack"/>
      <w:bookmarkEnd w:id="0"/>
      <w:r>
        <w:rPr>
          <w:rFonts w:ascii="Arial" w:hAnsi="Arial" w:cs="Arial"/>
        </w:rPr>
        <w:t xml:space="preserve"> organisasi manapun terhadap laboratorium berkaitan dengan kegiatan atau hasil yang perlu ditanggapi secara lanjut.</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Perbandingan antar laboratorium adalah pengorganisasian, pelaksanaan, dan evaluasi pengukuran atau pengujian pada barang yang sama atau serupa oleh dua atau lebih laboratorium dengan kondisi yang telah ditentukan.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Perbandingan dalam laboratorium adalah pengorganisasian, pelaksanaan, dan evaluasi pengukuran atau pengujian pada barang yang sama atau serupa, di dalam laboratorium yang sama, sesuai dengan kondisi yang ditentukan.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Uji profisiensi adalah evaluasi kinerja peserta terhadap kriteria yang telah ditetapkan sebelumnya dengan cara perbandingan antar laboratorium.</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Laboratorium adalah badan yang melakukan satu atau beberapa kegiatan berupa pengujian, kalibrasi dan pengambilan contoh (</w:t>
      </w:r>
      <w:r>
        <w:rPr>
          <w:rFonts w:ascii="Arial" w:hAnsi="Arial" w:cs="Arial"/>
          <w:i/>
        </w:rPr>
        <w:t>sampling</w:t>
      </w:r>
      <w:r>
        <w:rPr>
          <w:rFonts w:ascii="Arial" w:hAnsi="Arial" w:cs="Arial"/>
        </w:rPr>
        <w:t>) yang terkait dengan pengujian atau kalibrasi.</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 xml:space="preserve">Laboran adalah </w:t>
      </w:r>
      <w:r>
        <w:rPr>
          <w:rFonts w:ascii="Arial" w:hAnsi="Arial" w:cs="Arial"/>
          <w:color w:val="222222"/>
          <w:shd w:val="clear" w:color="auto" w:fill="FFFFFF"/>
        </w:rPr>
        <w:t>tenaga kependidikan yang bekerja di laboratorium dan membantu proses pembelajaran mahasiswa vokasi dan akademik, serta penelitian di laboratorium.</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Praktikan adalah seseorang yang mengikuti suatu praktikum atau melakukan penelitian di laboratorium.</w:t>
      </w:r>
    </w:p>
    <w:p w:rsidR="0081218D" w:rsidRPr="0078204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Asisten adalah seseorang atau tenaga kependidikan yang bekerja membantu laboran dalam menjalankan kegiatan laboratorium serta mengurus praktikan.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Aturan keputusan adalah aturan yang menjelaskan cara ketidakpastian pengukuran dan diperhitungkan ketika menyatakan kesesuaian dengan persyaratan yang ditentukan.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lastRenderedPageBreak/>
        <w:t>Verifikasi adalah penyediaan bukti obyektif bahwa barang tertentu memenuhi persyaratan yang ditentukan.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Validasi adalah verifikasi bahwa persyaratan yang dinyatakan mencukupi untuk suatu penggunaan tertentu.</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 xml:space="preserve">Manajemen puncak adalah </w:t>
      </w:r>
      <w:r>
        <w:rPr>
          <w:rFonts w:ascii="Arial" w:hAnsi="Arial" w:cs="Arial"/>
          <w:color w:val="222222"/>
          <w:shd w:val="clear" w:color="auto" w:fill="FFFFFF"/>
        </w:rPr>
        <w:t>tingkat </w:t>
      </w:r>
      <w:r w:rsidRPr="00993BCA">
        <w:rPr>
          <w:rFonts w:ascii="Arial" w:hAnsi="Arial" w:cs="Arial"/>
          <w:bCs/>
          <w:color w:val="222222"/>
          <w:shd w:val="clear" w:color="auto" w:fill="FFFFFF"/>
        </w:rPr>
        <w:t>manajemen</w:t>
      </w:r>
      <w:r>
        <w:rPr>
          <w:rFonts w:ascii="Arial" w:hAnsi="Arial" w:cs="Arial"/>
          <w:color w:val="222222"/>
          <w:shd w:val="clear" w:color="auto" w:fill="FFFFFF"/>
        </w:rPr>
        <w:t> yang paling atas dan memiliki otoritas tertinggi pada sebuah organisasi perusahaan dan bertanggungjawab langsung kepada pemilik perusahaan.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Manajer mutu adalah tenaga kependidikan yang bertugas</w:t>
      </w:r>
      <w:r>
        <w:rPr>
          <w:rFonts w:ascii="Arial" w:hAnsi="Arial" w:cs="Arial"/>
          <w:color w:val="222222"/>
          <w:shd w:val="clear" w:color="auto" w:fill="FFFFFF"/>
        </w:rPr>
        <w:t xml:space="preserve"> mengawasi semua kegiatan dan tugas-tugas yang diperlukan di laboratorium untuk mempertahankan tingkat </w:t>
      </w:r>
      <w:r w:rsidRPr="00993BCA">
        <w:rPr>
          <w:rFonts w:ascii="Arial" w:hAnsi="Arial" w:cs="Arial"/>
          <w:bCs/>
          <w:color w:val="222222"/>
          <w:shd w:val="clear" w:color="auto" w:fill="FFFFFF"/>
        </w:rPr>
        <w:t>mutu</w:t>
      </w:r>
      <w:r>
        <w:rPr>
          <w:rFonts w:ascii="Arial" w:hAnsi="Arial" w:cs="Arial"/>
          <w:color w:val="222222"/>
          <w:shd w:val="clear" w:color="auto" w:fill="FFFFFF"/>
        </w:rPr>
        <w:t> yang diinginkan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 xml:space="preserve">Manajer teknis adalah tenaga kependidikan yang bertugas untuk menerapkan </w:t>
      </w:r>
      <w:r>
        <w:rPr>
          <w:rFonts w:ascii="Arial" w:hAnsi="Arial" w:cs="Arial"/>
          <w:color w:val="222222"/>
          <w:shd w:val="clear" w:color="auto" w:fill="FFFFFF"/>
        </w:rPr>
        <w:t>spesialisasi yang berkaitan dengan penerapan prinsip </w:t>
      </w:r>
      <w:r>
        <w:rPr>
          <w:rFonts w:ascii="Arial" w:hAnsi="Arial" w:cs="Arial"/>
          <w:bCs/>
          <w:color w:val="222222"/>
          <w:shd w:val="clear" w:color="auto" w:fill="FFFFFF"/>
        </w:rPr>
        <w:t>teknis dalam kegiatan di laboratorium.</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Panduan mutu adalah acuan yang digunakan dalam penjagaan tingkat mutu di laboratorium.</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Akomodasi adalah fasilitas yang disediakan di laboratorium untuk menunjang kebutuhan kegiatan praktikum maupun penelitian.</w:t>
      </w:r>
    </w:p>
    <w:p w:rsid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Tindakan pencegahan adalah suatu aksi yang dilakukan untuk meminimalisir adanya masalah dalam pelaksanaan kegiatan laboratorium.</w:t>
      </w:r>
    </w:p>
    <w:p w:rsidR="0081218D" w:rsidRPr="0081218D" w:rsidRDefault="0081218D" w:rsidP="00A6399D">
      <w:pPr>
        <w:pStyle w:val="ListParagraph"/>
        <w:numPr>
          <w:ilvl w:val="0"/>
          <w:numId w:val="12"/>
        </w:numPr>
        <w:spacing w:line="360" w:lineRule="auto"/>
        <w:ind w:left="709" w:hanging="425"/>
        <w:jc w:val="both"/>
        <w:rPr>
          <w:rFonts w:ascii="Arial" w:hAnsi="Arial" w:cs="Arial"/>
        </w:rPr>
      </w:pPr>
      <w:r>
        <w:rPr>
          <w:rFonts w:ascii="Arial" w:hAnsi="Arial" w:cs="Arial"/>
        </w:rPr>
        <w:t xml:space="preserve">Resiko adalah </w:t>
      </w:r>
      <w:r>
        <w:rPr>
          <w:rFonts w:ascii="Arial" w:hAnsi="Arial" w:cs="Arial"/>
          <w:color w:val="222222"/>
          <w:shd w:val="clear" w:color="auto" w:fill="FFFFFF"/>
        </w:rPr>
        <w:t>bahaya, akibat, atau konsekuensi yang dapat terjadi akibat sebuah proses laboratorium yang sedang berlangsung atau kejadian yang akan datang</w:t>
      </w:r>
    </w:p>
    <w:p w:rsidR="00C632FD" w:rsidRDefault="0081218D" w:rsidP="00A6399D">
      <w:pPr>
        <w:pStyle w:val="ListParagraph"/>
        <w:numPr>
          <w:ilvl w:val="0"/>
          <w:numId w:val="12"/>
        </w:numPr>
        <w:spacing w:line="360" w:lineRule="auto"/>
        <w:ind w:left="709" w:hanging="425"/>
        <w:jc w:val="both"/>
        <w:rPr>
          <w:rFonts w:ascii="Arial" w:hAnsi="Arial" w:cs="Arial"/>
        </w:rPr>
      </w:pPr>
      <w:r w:rsidRPr="0081218D">
        <w:rPr>
          <w:rFonts w:ascii="Arial" w:hAnsi="Arial" w:cs="Arial"/>
        </w:rPr>
        <w:t>Persen kesalahan adalah tingkat ketidaksesuaian hasil analisa dari suatu alat/metode praktik di laboratorium dengan teori sebenarnya.</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Sumber air adalah wadah air yang terdapat di atas dan di bawah permukaan tanah, termasuk dalam pengertian ini akuifer, mata air, sungai, rawa, danau, situ, waduk, dan muara.</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Air limbah adalah sisa dari suatu usaha dan/atau kegiatan yang berwujud cair.</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lastRenderedPageBreak/>
        <w:t>Air limbah domestik adalah air limbah yang berasal dari usaha dan/atau kegiatan pemukiman, rumah makan,  perkantoran, perniagaan, apartemen dan asrama.</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Baku mutu air limbah adalah ukuran batas atau kadar unsur pencemar dan/atau jumlah unsur pencemar yang ditenggang keberadaannya dalam air  limbah  yang  akan  dibuang  atau  dilepas  ke dalam media air dari suatu usaha dan/atau kegiatan</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Pr>
          <w:rFonts w:ascii="Arial" w:hAnsi="Arial" w:cs="Arial"/>
        </w:rPr>
        <w:t xml:space="preserve">Analisis </w:t>
      </w:r>
      <w:r w:rsidRPr="00A6399D">
        <w:rPr>
          <w:rFonts w:ascii="Arial" w:hAnsi="Arial" w:cs="Arial"/>
        </w:rPr>
        <w:t>Mengenai  Dampak  Lingkungan  Hidup, yang selanjutnya disebut Amdal, adalah kajian mengenai dampak penting suatu Usaha dan/atau Kegiatan   yang   direncanakan   pada   lingkungan hidup yang diperlukan bagi proses pengambilan keputusan tentang penyelenggaraan Usaha dan/atau Kegiatan.</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Upaya Pengelolaan Lingkungan Hidup dan Upaya Pemantauan Lingkungan Hidup, yang selanjutnya disebut UKL-UPL, adalah pengelolaan dan pemantauan terhadap Usaha dan/atau Kegiatan yang tidak berdampak penting terhadap lingkungan hidup yang diperlukan bagi proses pengambilan keputusan tentang penyelenggaraan Usaha dan/atau Kegiatan.</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Air adalah semua air yang terdapat di atas dan di bawah permukaan  tanah, kecuali air laut dan air fosil;</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 xml:space="preserve">Sumber air adalah wadah air yang terdapat di atas dan di bawah permukaan tanah, termasuk dalam  pengertian  ini akuifer,  mata air,  sungai, rawa, danau,  situ, waduk, dan muara </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Pengelolaan kualitas air adalah upaya pemeliharaan air sehingga tercapai kualitas air yang diinginkan sesuai peruntukannya untuk menjamin agar kualitas air tetap dalam kondisi alamiahnya</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Pengendalian pencemaran  air adalah upaya  pencegahan dan penanggulangan  pencemaran air serta pemulihan kualitas  air untuk  menjamin kualitas air agar sesuai dengan baku mutu air</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lastRenderedPageBreak/>
        <w:t>Mutu  air  adalah  kondisi  kualitas  air  yang  diukur  dan  atau  diuji  berdasarkan   parameter - parameter tertentu dan metoda tertentu  berdasarkan  peraturan  perundang-undangan  yang berlaku;</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Kelas air adalah  peringkat  kualitas  air yang  dinilai  masih layak  untuk dimanfaatkan  bagi peruntukan tertentu</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Kriteria  mutu air adalah tolok ukur mutu air untuk setiap kelas air;</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Rencana pendayagunaan air adalah rencana yang memuat potensi pemanfaatan atau penggunaan  air,  pencadangan  air  berdasarkan  ketersediaannya,   baik  kualitas  maupun kuantitas-nya,  dan atau fungsi ekologis;</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Baku mutu  air adalah ukuran  batas  atau kadar makhluk hidup,  zat,  energi, atau komponen yang  ada atau  harus  ada dan  atau  unsur  pencemar yang  ditenggang  keberadaannya  di dalam air;</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Status mutu air adalah tingkat kondisi mutu air yang menunjukkan kondisi cemar atau kondisi baik pada suatu sumber air dalam waktu tertentu dengan  membandingkan dengan baku mutu air yang ditetapkan;</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Pencemaran air adalah masuknya atau dimasukkannya  makhluk hidup,  zat,  energi dan atau komponen lain  ke  dalam air oleh kegiatan manusia, sehingga  kualitas air turun sampai  ke tingkat tertentu yang menyebabkan air tidak dapat berfungsi sesuai dengan peruntukannya;</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Beban pencemaran adalah jumlah suatu unsur pencemar yang terkandung dalam air atau air limbah;</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Daya  tampung  beban  pencemaran  adalah  kemampuan  air pada  suatu sumber air,  untuk menerima masukan beban pencemaran tanpa mengakibatkan air tersebut menjadi cemar;</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Pemerintah  adalah Presiden beserta  para menteri  dan Ketua/ Kepala Lembaga Pemerintah Nondepartemen;</w:t>
      </w:r>
    </w:p>
    <w:p w:rsidR="00A6399D" w:rsidRPr="00A6399D" w:rsidRDefault="00A6399D" w:rsidP="00A6399D">
      <w:pPr>
        <w:pStyle w:val="ListParagraph"/>
        <w:numPr>
          <w:ilvl w:val="0"/>
          <w:numId w:val="12"/>
        </w:numPr>
        <w:spacing w:line="360" w:lineRule="auto"/>
        <w:ind w:left="709" w:hanging="425"/>
        <w:jc w:val="both"/>
        <w:rPr>
          <w:rFonts w:ascii="Arial" w:hAnsi="Arial" w:cs="Arial"/>
        </w:rPr>
      </w:pPr>
      <w:r w:rsidRPr="00A6399D">
        <w:rPr>
          <w:rFonts w:ascii="Arial" w:hAnsi="Arial" w:cs="Arial"/>
        </w:rPr>
        <w:t xml:space="preserve">Menteri adalah menteri yang ditugasi untuk </w:t>
      </w:r>
      <w:r>
        <w:rPr>
          <w:rFonts w:ascii="Arial" w:hAnsi="Arial" w:cs="Arial"/>
        </w:rPr>
        <w:t xml:space="preserve">mengelola lingkungan hidup dan </w:t>
      </w:r>
      <w:r w:rsidRPr="00A6399D">
        <w:rPr>
          <w:rFonts w:ascii="Arial" w:hAnsi="Arial" w:cs="Arial"/>
        </w:rPr>
        <w:t>pengendalian dampak lingkungan.</w:t>
      </w:r>
    </w:p>
    <w:sectPr w:rsidR="00A6399D" w:rsidRPr="00A6399D" w:rsidSect="004F4D33">
      <w:headerReference w:type="default" r:id="rId8"/>
      <w:footerReference w:type="default" r:id="rId9"/>
      <w:pgSz w:w="11907" w:h="16839" w:code="9"/>
      <w:pgMar w:top="1440" w:right="1275"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F3" w:rsidRDefault="009E21F3" w:rsidP="0005732D">
      <w:r>
        <w:separator/>
      </w:r>
    </w:p>
  </w:endnote>
  <w:endnote w:type="continuationSeparator" w:id="0">
    <w:p w:rsidR="009E21F3" w:rsidRDefault="009E21F3"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F3" w:rsidRDefault="009E21F3" w:rsidP="0005732D">
      <w:r>
        <w:separator/>
      </w:r>
    </w:p>
  </w:footnote>
  <w:footnote w:type="continuationSeparator" w:id="0">
    <w:p w:rsidR="009E21F3" w:rsidRDefault="009E21F3"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39663E" w:rsidRDefault="0039663E" w:rsidP="0039663E">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39663E" w:rsidP="0039663E">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81218D">
            <w:rPr>
              <w:rFonts w:ascii="Arial" w:hAnsi="Arial" w:cs="Arial"/>
              <w:sz w:val="20"/>
              <w:lang w:val="sv-SE"/>
            </w:rPr>
            <w:t>.K-03</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81218D" w:rsidP="00790887">
          <w:pPr>
            <w:pStyle w:val="Header"/>
            <w:jc w:val="center"/>
            <w:rPr>
              <w:rFonts w:ascii="Arial" w:hAnsi="Arial" w:cs="Arial"/>
              <w:b/>
              <w:sz w:val="28"/>
              <w:lang w:val="sv-SE"/>
            </w:rPr>
          </w:pPr>
          <w:r>
            <w:rPr>
              <w:rFonts w:ascii="Arial" w:hAnsi="Arial" w:cs="Arial"/>
              <w:b/>
              <w:sz w:val="20"/>
              <w:szCs w:val="22"/>
              <w:lang w:val="sv-SE"/>
            </w:rPr>
            <w:t>ISTILAH DAN DEFINISI</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4F4D33">
            <w:rPr>
              <w:rFonts w:ascii="Arial" w:hAnsi="Arial" w:cs="Arial"/>
              <w:noProof/>
              <w:sz w:val="20"/>
              <w:lang w:val="sv-SE"/>
            </w:rPr>
            <w:t>7</w:t>
          </w:r>
          <w:r w:rsidRPr="008B4D4C">
            <w:rPr>
              <w:rFonts w:ascii="Arial" w:hAnsi="Arial" w:cs="Arial"/>
              <w:sz w:val="20"/>
            </w:rPr>
            <w:fldChar w:fldCharType="end"/>
          </w:r>
        </w:p>
      </w:tc>
    </w:tr>
  </w:tbl>
  <w:p w:rsidR="00485993" w:rsidRDefault="00485993"/>
  <w:p w:rsidR="00485993" w:rsidRDefault="00485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12BD4"/>
    <w:rsid w:val="00323A2E"/>
    <w:rsid w:val="003249FA"/>
    <w:rsid w:val="003250BC"/>
    <w:rsid w:val="00336BF8"/>
    <w:rsid w:val="00344DB6"/>
    <w:rsid w:val="0035164C"/>
    <w:rsid w:val="00351BC5"/>
    <w:rsid w:val="00373865"/>
    <w:rsid w:val="003853BA"/>
    <w:rsid w:val="00390C99"/>
    <w:rsid w:val="003936B9"/>
    <w:rsid w:val="0039663E"/>
    <w:rsid w:val="00397F65"/>
    <w:rsid w:val="003C0A4B"/>
    <w:rsid w:val="003E4141"/>
    <w:rsid w:val="00405FB5"/>
    <w:rsid w:val="004111E2"/>
    <w:rsid w:val="004128C3"/>
    <w:rsid w:val="00430E99"/>
    <w:rsid w:val="004419BB"/>
    <w:rsid w:val="00442320"/>
    <w:rsid w:val="00465726"/>
    <w:rsid w:val="00466A46"/>
    <w:rsid w:val="00472267"/>
    <w:rsid w:val="00485993"/>
    <w:rsid w:val="00490270"/>
    <w:rsid w:val="004913D7"/>
    <w:rsid w:val="004A748A"/>
    <w:rsid w:val="004B6388"/>
    <w:rsid w:val="004D4AA9"/>
    <w:rsid w:val="004D57C8"/>
    <w:rsid w:val="004E54F6"/>
    <w:rsid w:val="004F4D33"/>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F64"/>
    <w:rsid w:val="0080239B"/>
    <w:rsid w:val="00805563"/>
    <w:rsid w:val="0081218D"/>
    <w:rsid w:val="00817E52"/>
    <w:rsid w:val="00822C2A"/>
    <w:rsid w:val="00826911"/>
    <w:rsid w:val="00826958"/>
    <w:rsid w:val="00851BB3"/>
    <w:rsid w:val="00872D4E"/>
    <w:rsid w:val="00883EDB"/>
    <w:rsid w:val="008843DE"/>
    <w:rsid w:val="00893C58"/>
    <w:rsid w:val="008970DA"/>
    <w:rsid w:val="008A46DC"/>
    <w:rsid w:val="008A5E4D"/>
    <w:rsid w:val="00903A11"/>
    <w:rsid w:val="00903F0C"/>
    <w:rsid w:val="009160F1"/>
    <w:rsid w:val="00922568"/>
    <w:rsid w:val="00925C4B"/>
    <w:rsid w:val="0093073E"/>
    <w:rsid w:val="009619D9"/>
    <w:rsid w:val="00963894"/>
    <w:rsid w:val="00993BCA"/>
    <w:rsid w:val="009977BB"/>
    <w:rsid w:val="009A427F"/>
    <w:rsid w:val="009A7AC0"/>
    <w:rsid w:val="009E136F"/>
    <w:rsid w:val="009E21F3"/>
    <w:rsid w:val="00A0644A"/>
    <w:rsid w:val="00A345DA"/>
    <w:rsid w:val="00A57A84"/>
    <w:rsid w:val="00A6399D"/>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51E"/>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61E3F"/>
    <w:rsid w:val="00D63249"/>
    <w:rsid w:val="00D761E0"/>
    <w:rsid w:val="00D9656A"/>
    <w:rsid w:val="00DA3666"/>
    <w:rsid w:val="00DC118A"/>
    <w:rsid w:val="00DE4739"/>
    <w:rsid w:val="00DF6FD4"/>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0361809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F184-811B-4BA4-8D37-BA9D22E1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2020-03-04T06:15:00Z</dcterms:created>
  <dcterms:modified xsi:type="dcterms:W3CDTF">2020-08-27T17:01:00Z</dcterms:modified>
</cp:coreProperties>
</file>