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7B7FC5" w:rsidRDefault="007B7FC5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7.1</w:t>
      </w:r>
      <w:r w:rsidR="002E7B76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b/>
          <w:sz w:val="28"/>
        </w:rPr>
        <w:t xml:space="preserve">. </w:t>
      </w:r>
      <w:r w:rsidR="002E7B76">
        <w:rPr>
          <w:rFonts w:ascii="Arial" w:hAnsi="Arial" w:cs="Arial"/>
          <w:b/>
          <w:sz w:val="28"/>
        </w:rPr>
        <w:t>Pekerjaan yang Tidak Sesuai</w:t>
      </w:r>
    </w:p>
    <w:p w:rsidR="002E7B76" w:rsidRPr="00E278B4" w:rsidRDefault="002E7B76" w:rsidP="002E7B76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</w:t>
      </w:r>
      <w:r w:rsidR="00BF2D40">
        <w:rPr>
          <w:rFonts w:ascii="Arial" w:hAnsi="Arial" w:cs="Arial"/>
        </w:rPr>
        <w:t xml:space="preserve"> Pengujian Fakultas Teknik Universitas Diponegoro</w:t>
      </w:r>
      <w:r>
        <w:rPr>
          <w:rFonts w:ascii="Arial" w:hAnsi="Arial" w:cs="Arial"/>
        </w:rPr>
        <w:t xml:space="preserve"> menetapkan </w:t>
      </w:r>
      <w:r w:rsidR="0081477F">
        <w:rPr>
          <w:rFonts w:ascii="Arial" w:hAnsi="Arial" w:cs="Arial"/>
          <w:b/>
        </w:rPr>
        <w:t xml:space="preserve">SOP.K07-14 </w:t>
      </w:r>
      <w:r w:rsidR="0081477F">
        <w:rPr>
          <w:rFonts w:ascii="Arial" w:hAnsi="Arial" w:cs="Arial"/>
        </w:rPr>
        <w:t>: Prosedur Penanganan Pekerjaan yang Tidak Sesuai</w:t>
      </w:r>
      <w:r>
        <w:rPr>
          <w:rFonts w:ascii="Arial" w:hAnsi="Arial" w:cs="Arial"/>
        </w:rPr>
        <w:t xml:space="preserve"> yang dilaksanakan bila ada aspek dari kegiatan pengujian atau hasil pengujian yang tidak sesuai dengan prosedurnya sendiri atau persyaratan yang disepakati pelanggan. Prose</w:t>
      </w:r>
      <w:r w:rsidR="0081477F">
        <w:rPr>
          <w:rFonts w:ascii="Arial" w:hAnsi="Arial" w:cs="Arial"/>
        </w:rPr>
        <w:t>dur tersebut memastikan bahwa :</w:t>
      </w:r>
    </w:p>
    <w:p w:rsidR="002E7B76" w:rsidRPr="002E7B76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Tanggung jawab dan wewenang untuk p</w:t>
      </w:r>
      <w:bookmarkStart w:id="0" w:name="_GoBack"/>
      <w:bookmarkEnd w:id="0"/>
      <w:r>
        <w:rPr>
          <w:rFonts w:ascii="Arial" w:hAnsi="Arial" w:cs="Arial"/>
        </w:rPr>
        <w:t>engelolaan pekerjaan yang tidak sesuai ditetapkan</w:t>
      </w:r>
    </w:p>
    <w:p w:rsidR="002E7B76" w:rsidRPr="002E7B76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Tindakan (termasuk menghentikan atau mengulangi pekerjaan dan menahan sertifikat, jika diperlukan) didasarkan pada tingkat risiko yang ditetapkan oleh laboratorium</w:t>
      </w:r>
    </w:p>
    <w:p w:rsidR="002E7B76" w:rsidRPr="002E7B76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Evaluasi dibuat terhadap signifikansi pekerjaan yang tidak sesuai, termasuk analisis dampak pada hasil sebelumnya</w:t>
      </w:r>
    </w:p>
    <w:p w:rsidR="002E7B76" w:rsidRPr="002E7B76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Keputusan diambil terhadap keberterimaan pekerjaan yang tidak sesuai</w:t>
      </w:r>
    </w:p>
    <w:p w:rsidR="002E7B76" w:rsidRPr="002E7B76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Jika diperlukan, pelanggan diberitahu dan pekerjaan ditarik kembali</w:t>
      </w:r>
    </w:p>
    <w:p w:rsidR="002E7B76" w:rsidRPr="00E278B4" w:rsidRDefault="002E7B76" w:rsidP="002E7B76">
      <w:pPr>
        <w:pStyle w:val="ListParagraph"/>
        <w:numPr>
          <w:ilvl w:val="0"/>
          <w:numId w:val="56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Tanggung jawab untuk menyatakan dimulainya kembali pekerjaan ditetapkan.</w:t>
      </w:r>
    </w:p>
    <w:p w:rsidR="002E7B76" w:rsidRPr="00E278B4" w:rsidRDefault="002E7B76" w:rsidP="002E7B76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menyimpan dan memelihara rekaman pekerjaan yan tidak sesuai dan tindakan sebagaimana ditentukan dalam 7.10.1 butir b) sampai f)</w:t>
      </w:r>
    </w:p>
    <w:p w:rsidR="00C632FD" w:rsidRPr="002E7B76" w:rsidRDefault="002E7B76" w:rsidP="002E7B76">
      <w:pPr>
        <w:pStyle w:val="ListParagraph"/>
        <w:numPr>
          <w:ilvl w:val="2"/>
          <w:numId w:val="6"/>
        </w:numPr>
        <w:spacing w:line="360" w:lineRule="auto"/>
        <w:ind w:left="1560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Apabila evaluasi menunjukkan bahwa pekerjaan yang tidak sesuai dapat terjadi lagi, atau ada keraguan tentang kesesuaian pengoperasian laboratorium dengan sistem manajemennya sendiri, laboratorium memastikan</w:t>
      </w:r>
      <w:r w:rsidR="0081477F">
        <w:rPr>
          <w:rFonts w:ascii="Arial" w:hAnsi="Arial" w:cs="Arial"/>
        </w:rPr>
        <w:t xml:space="preserve"> penerapan tindakan perbaikan dan menuliskannya dalam </w:t>
      </w:r>
      <w:r w:rsidR="0081477F">
        <w:rPr>
          <w:rFonts w:ascii="Arial" w:hAnsi="Arial" w:cs="Arial"/>
          <w:b/>
        </w:rPr>
        <w:t xml:space="preserve">Form. 01-K07.10 </w:t>
      </w:r>
      <w:r w:rsidR="0081477F">
        <w:rPr>
          <w:rFonts w:ascii="Arial" w:hAnsi="Arial" w:cs="Arial"/>
        </w:rPr>
        <w:t>: Permintaan dan Penyelesaian Ketidaksesuaian Pekerjaan.</w:t>
      </w:r>
    </w:p>
    <w:sectPr w:rsidR="00C632FD" w:rsidRPr="002E7B76" w:rsidSect="006E250E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85" w:rsidRDefault="00546885" w:rsidP="0005732D">
      <w:r>
        <w:separator/>
      </w:r>
    </w:p>
  </w:endnote>
  <w:endnote w:type="continuationSeparator" w:id="0">
    <w:p w:rsidR="00546885" w:rsidRDefault="00546885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85" w:rsidRDefault="00546885" w:rsidP="0005732D">
      <w:r>
        <w:separator/>
      </w:r>
    </w:p>
  </w:footnote>
  <w:footnote w:type="continuationSeparator" w:id="0">
    <w:p w:rsidR="00546885" w:rsidRDefault="00546885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BF2D40" w:rsidRDefault="00BF2D40" w:rsidP="00BF2D40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BF2D40" w:rsidP="00BF2D40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2E7B76">
            <w:rPr>
              <w:rFonts w:ascii="Arial" w:hAnsi="Arial" w:cs="Arial"/>
              <w:sz w:val="20"/>
              <w:lang w:val="sv-SE"/>
            </w:rPr>
            <w:t>.K-07-10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BF2D40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7B7FC5">
            <w:rPr>
              <w:rFonts w:ascii="Arial" w:hAnsi="Arial" w:cs="Arial"/>
              <w:b/>
              <w:sz w:val="20"/>
              <w:szCs w:val="22"/>
              <w:lang w:val="sv-SE"/>
            </w:rPr>
            <w:t>PROSES</w:t>
          </w: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 – </w:t>
          </w:r>
          <w:r w:rsidR="00BF2D40">
            <w:rPr>
              <w:rFonts w:ascii="Arial" w:hAnsi="Arial" w:cs="Arial"/>
              <w:b/>
              <w:sz w:val="20"/>
              <w:szCs w:val="22"/>
              <w:lang w:val="sv-SE"/>
            </w:rPr>
            <w:t>PEKERJAAN YANG TIDAK SESUAI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6E250E">
            <w:rPr>
              <w:rFonts w:ascii="Arial" w:hAnsi="Arial" w:cs="Arial"/>
              <w:noProof/>
              <w:sz w:val="20"/>
              <w:lang w:val="sv-SE"/>
            </w:rPr>
            <w:t>41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60AE53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7.10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B76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077BE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44172"/>
    <w:rsid w:val="00546885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E250E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477F"/>
    <w:rsid w:val="00817E52"/>
    <w:rsid w:val="00822C2A"/>
    <w:rsid w:val="00826911"/>
    <w:rsid w:val="00826958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8C4B19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6270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065DA"/>
    <w:rsid w:val="00B075C2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2D40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AE38-9970-466A-B4D0-4404AD9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2020-03-04T06:15:00Z</dcterms:created>
  <dcterms:modified xsi:type="dcterms:W3CDTF">2020-08-27T17:09:00Z</dcterms:modified>
</cp:coreProperties>
</file>